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43"/>
    <w:p>
      <w:pPr>
        <w:pStyle w:val="Heading1"/>
      </w:pPr>
      <w:r>
        <w:t xml:space="preserve">Homiletics Analysis: Isaiah 43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43 opens with one of Scripture’s most arresting reversals: a God who has just declared His people’s judgment (Isaiah 42:24–25) now speaks words of tender, personal redemption. The chapter moves through four distinct but interlocking movements. The first (vv. 1–7) is a word of sovereign comfort — the LORD declares His people’s identity (</w:t>
      </w:r>
      <w:r>
        <w:t xml:space="preserve">“I have called you by name; you are mine”</w:t>
      </w:r>
      <w:r>
        <w:t xml:space="preserve">), promises His presence through every ordeal (water, fire, flood), and grounds this promise not in Israel’s merit but in His own electing love and redemptive purpose. The second movement (vv. 8–13) is a courtroom scene — the nations are summoned as witnesses alongside their idols, and the question before the court is: who predicted this? Who announced it beforehand? The answer is the LORD alone, and Israel is His witness to that exclusive claim. The third movement (vv. 14–21) announces a new exodus — the LORD is about to do something unprecedented, and He calls His people to stop fixating on the old exodus because the new thing He is doing will dwarf it. The fourth movement (vv. 22–28) is a stunning reversal of the courtroom: now it is Israel in the dock. They have not called on the LORD; they have burdened Him with their sins. Yet even here, the dominant note is grace — the LORD blots out their transgressions for His own sake. The chapter thus moves from election to trial to new exodus to confession and forgiveness, all governed by the LORD’s sovereign, unilateral, self-motivated love for His people.</w:t>
      </w:r>
    </w:p>
    <w:p>
      <w:pPr>
        <w:pStyle w:val="BodyText"/>
      </w:pPr>
      <w:r>
        <w:rPr>
          <w:b/>
          <w:bCs/>
        </w:rPr>
        <w:t xml:space="preserve">This Text — Intent</w:t>
      </w:r>
    </w:p>
    <w:p>
      <w:pPr>
        <w:pStyle w:val="BodyText"/>
      </w:pPr>
      <w:r>
        <w:t xml:space="preserve">God is seeking to dislodge His people from two intertwined failures:</w:t>
      </w:r>
      <w:r>
        <w:t xml:space="preserve"> </w:t>
      </w:r>
      <w:r>
        <w:rPr>
          <w:i/>
          <w:iCs/>
        </w:rPr>
        <w:t xml:space="preserve">fear</w:t>
      </w:r>
      <w:r>
        <w:t xml:space="preserve"> </w:t>
      </w:r>
      <w:r>
        <w:t xml:space="preserve">and</w:t>
      </w:r>
      <w:r>
        <w:t xml:space="preserve"> </w:t>
      </w:r>
      <w:r>
        <w:rPr>
          <w:i/>
          <w:iCs/>
        </w:rPr>
        <w:t xml:space="preserve">self-reliance</w:t>
      </w:r>
      <w:r>
        <w:t xml:space="preserve">. The exiles are afraid — afraid that the catastrophe of exile means the LORD has abandoned them, that His purposes have failed, that the relationship is over. And beneath the fear is a subtler problem: they have stopped calling on Him (v. 22), stopped bringing sacrifices (v. 23), stopped orienting their lives toward Him. God addresses both failures through a single sovereign announcement:</w:t>
      </w:r>
      <w:r>
        <w:t xml:space="preserve"> </w:t>
      </w:r>
      <w:r>
        <w:rPr>
          <w:i/>
          <w:iCs/>
        </w:rPr>
        <w:t xml:space="preserve">I am the one who redeems you, I am the one who knows you, I am the one who forgives you — and I do all of this for My own name’s sake, not yours.</w:t>
      </w:r>
      <w:r>
        <w:t xml:space="preserve"> </w:t>
      </w:r>
      <w:r>
        <w:t xml:space="preserve">The intended effect is a people shaken loose from their despairing self-preoccupation and re-anchored in the LORD’s own character as their only source of identity, security, and hope. God wants His people to stop behaving like abandoned orphans when they are, in fact, owned, named, and redeemed.</w:t>
      </w:r>
    </w:p>
    <w:p>
      <w:r>
        <w:pict>
          <v:rect style="width:0;height:1.5pt" o:hralign="center" o:hrstd="t" o:hr="t"/>
        </w:pict>
      </w:r>
    </w:p>
    <w:p>
      <w:pPr>
        <w:pStyle w:val="FirstParagraph"/>
      </w:pPr>
      <w:r>
        <w:rPr>
          <w:b/>
          <w:bCs/>
        </w:rPr>
        <w:t xml:space="preserve">Subject Sentence:</w:t>
      </w:r>
      <w:r>
        <w:t xml:space="preserve"> </w:t>
      </w:r>
      <w:r>
        <w:t xml:space="preserve">The LORD reclaims His fearful, sin-burdened people by His sovereign, unilateral, self-motivated grace.</w:t>
      </w:r>
    </w:p>
    <w:p>
      <w:r>
        <w:pict>
          <v:rect style="width:0;height:1.5pt" o:hralign="center" o:hrstd="t" o:hr="t"/>
        </w:pict>
      </w:r>
    </w:p>
    <w:p>
      <w:pPr>
        <w:pStyle w:val="FirstParagraph"/>
      </w:pPr>
      <w:r>
        <w:rPr>
          <w:b/>
          <w:bCs/>
        </w:rPr>
        <w:t xml:space="preserve">Primary Claim:</w:t>
      </w:r>
      <w:r>
        <w:t xml:space="preserve"> </w:t>
      </w:r>
      <w:r>
        <w:t xml:space="preserve">God is calling His exiled, afraid, and spiritually negligent people back to Himself — not on the basis of their faithfulness but on the sole basis of His own electing love and His determination to blot out their transgressions for His name’s sake — so that they will stop living in fear and start living as His named, known, and redeemed witnesses.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“Israel”</w:t>
      </w:r>
      <w:r>
        <w:rPr>
          <w:b/>
          <w:bCs/>
        </w:rPr>
        <w:t xml:space="preserve"> </w:t>
      </w:r>
      <w:r>
        <w:rPr>
          <w:b/>
          <w:bCs/>
        </w:rPr>
        <w:t xml:space="preserve">and the fulfillment of the new exodus (vv. 14–21)</w:t>
      </w:r>
    </w:p>
    <w:p>
      <w:pPr>
        <w:pStyle w:val="BodyText"/>
      </w:pPr>
      <w:r>
        <w:t xml:space="preserve">Dispensational interpreters typically read verses 14–21 as a yet-future literal fulfillment awaiting national Israel — a second physical exodus from a future Babylonian captivity, often associated with end-times events. This reading takes seriously the particularity of the language (</w:t>
      </w:r>
      <w:r>
        <w:t xml:space="preserve">“former things,”</w:t>
      </w:r>
      <w:r>
        <w:t xml:space="preserve"> </w:t>
      </w:r>
      <w:r>
        <w:t xml:space="preserve">“new thing,”</w:t>
      </w:r>
      <w:r>
        <w:t xml:space="preserve"> </w:t>
      </w:r>
      <w:r>
        <w:t xml:space="preserve">“way in the wilderness”</w:t>
      </w:r>
      <w:r>
        <w:t xml:space="preserve">) and the historical specificity of</w:t>
      </w:r>
      <w:r>
        <w:t xml:space="preserve"> </w:t>
      </w:r>
      <w:r>
        <w:t xml:space="preserve">“Babylon”</w:t>
      </w:r>
      <w:r>
        <w:t xml:space="preserve"> </w:t>
      </w:r>
      <w:r>
        <w:t xml:space="preserve">in verse 14. The concern is legitimate: Isaiah is speaking to a real people in a real crisis, and flattening everything into generic spiritual metaphor loses that anchoring.</w:t>
      </w:r>
    </w:p>
    <w:p>
      <w:pPr>
        <w:pStyle w:val="BodyText"/>
      </w:pPr>
      <w:r>
        <w:t xml:space="preserve">However, the Reformed and broader canonical reading recognizes that the</w:t>
      </w:r>
      <w:r>
        <w:t xml:space="preserve"> </w:t>
      </w:r>
      <w:r>
        <w:t xml:space="preserve">“new thing”</w:t>
      </w:r>
      <w:r>
        <w:t xml:space="preserve"> </w:t>
      </w:r>
      <w:r>
        <w:t xml:space="preserve">Isaiah announces is not merely a second physical migration but a new redemptive-historical act that the New Testament explicitly identifies as the gospel and the new covenant community. Peter draws from Isaiah’s servant language and witness-language to describe the church (1 Peter 2:9–10). Paul draws from the same Isaianic servant songs to describe his apostolic mission to the Gentiles. The wilderness-road and water-in-the-desert imagery are not simply geographic predictions but theological archetypes that reach their climax in the Spirit’s ministry and the mission of the church. The Reformed reading</w:t>
      </w:r>
      <w:r>
        <w:t xml:space="preserve"> </w:t>
      </w:r>
      <w:r>
        <w:rPr>
          <w:i/>
          <w:iCs/>
        </w:rPr>
        <w:t xml:space="preserve">qualifies</w:t>
      </w:r>
      <w:r>
        <w:t xml:space="preserve"> </w:t>
      </w:r>
      <w:r>
        <w:t xml:space="preserve">the Dispensational reading: the historical particularity is real and must be respected; the fulfillment is progressive and climaxes in Christ and the new covenant, not in a future national restoration that bypasses Him.</w:t>
      </w:r>
    </w:p>
    <w:p>
      <w:pPr>
        <w:pStyle w:val="BodyText"/>
      </w:pPr>
      <w:r>
        <w:rPr>
          <w:b/>
          <w:bCs/>
        </w:rPr>
        <w:t xml:space="preserve">The basis of forgiveness in verse 25 — merit, cooperation, or grace alone?</w:t>
      </w:r>
    </w:p>
    <w:p>
      <w:pPr>
        <w:pStyle w:val="BodyText"/>
      </w:pPr>
      <w:r>
        <w:t xml:space="preserve">Wesleyan-Arminian interpreters tend to read the surrounding context of Israel’s failure (vv. 22–24) as establishing a conditional framework: God forgives those who return and call upon Him. On this reading, the people’s repentance and renewed devotion is a necessary cooperative condition for the forgiveness announced in verse 25. The surrounding context of spiritual neglect is cited as the reason God must call them back before forgiving them.</w:t>
      </w:r>
    </w:p>
    <w:p>
      <w:pPr>
        <w:pStyle w:val="BodyText"/>
      </w:pPr>
      <w:r>
        <w:t xml:space="preserve">The text, however, does not support this reading. Verse 25 is grammatically and theologically stark:</w:t>
      </w:r>
      <w:r>
        <w:t xml:space="preserve"> </w:t>
      </w:r>
      <w:r>
        <w:t xml:space="preserve">“I, even I, am he who blots out your transgressions</w:t>
      </w:r>
      <w:r>
        <w:t xml:space="preserve"> </w:t>
      </w:r>
      <w:r>
        <w:rPr>
          <w:i/>
          <w:iCs/>
        </w:rPr>
        <w:t xml:space="preserve">for my own sake</w:t>
      </w:r>
      <w:r>
        <w:t xml:space="preserve">, and remembers your sins no more.”</w:t>
      </w:r>
      <w:r>
        <w:t xml:space="preserve"> </w:t>
      </w:r>
      <w:r>
        <w:t xml:space="preserve">The prepositional phrase</w:t>
      </w:r>
      <w:r>
        <w:t xml:space="preserve"> </w:t>
      </w:r>
      <w:r>
        <w:t xml:space="preserve">“for my own sake”</w:t>
      </w:r>
      <w:r>
        <w:t xml:space="preserve"> </w:t>
      </w:r>
      <w:r>
        <w:t xml:space="preserve">(לְמַעַנִי) is the decisive phrase — it explicitly relocates the motivation for forgiveness from anything in Israel to the LORD’s own character and purposes. This is not a conditional promise awaiting Israel’s response; it is a unilateral declaration. The Reformed reading</w:t>
      </w:r>
      <w:r>
        <w:t xml:space="preserve"> </w:t>
      </w:r>
      <w:r>
        <w:rPr>
          <w:i/>
          <w:iCs/>
        </w:rPr>
        <w:t xml:space="preserve">refutes</w:t>
      </w:r>
      <w:r>
        <w:t xml:space="preserve"> </w:t>
      </w:r>
      <w:r>
        <w:t xml:space="preserve">the Wesleyan cooperative framework here and finds in this verse one of the clearest statements of sovereign, unconditioned grace in the entire Old Testament. God forgives Israel not because they will repent but because His name, His character, and His covenant commitment require it.</w:t>
      </w:r>
    </w:p>
    <w:p>
      <w:pPr>
        <w:pStyle w:val="BodyText"/>
      </w:pPr>
      <w:r>
        <w:rPr>
          <w:b/>
          <w:bCs/>
        </w:rPr>
        <w:t xml:space="preserve">The courtroom scene and Israel’s witness role (vv. 8–13)</w:t>
      </w:r>
    </w:p>
    <w:p>
      <w:pPr>
        <w:pStyle w:val="BodyText"/>
      </w:pPr>
      <w:r>
        <w:t xml:space="preserve">Some Baptist and broadly evangelical interpreters read the</w:t>
      </w:r>
      <w:r>
        <w:t xml:space="preserve"> </w:t>
      </w:r>
      <w:r>
        <w:t xml:space="preserve">“witnesses”</w:t>
      </w:r>
      <w:r>
        <w:t xml:space="preserve"> </w:t>
      </w:r>
      <w:r>
        <w:t xml:space="preserve">language in verses 10–12 primarily as a present evangelical commission — you are my witnesses</w:t>
      </w:r>
      <w:r>
        <w:t xml:space="preserve"> </w:t>
      </w:r>
      <w:r>
        <w:rPr>
          <w:i/>
          <w:iCs/>
        </w:rPr>
        <w:t xml:space="preserve">now</w:t>
      </w:r>
      <w:r>
        <w:t xml:space="preserve">, go and tell. This is not wrong as application, but it misreads the literary form. The scene is a judicial assembly (רִיב, a covenant lawsuit). The question before the court is not</w:t>
      </w:r>
      <w:r>
        <w:t xml:space="preserve"> </w:t>
      </w:r>
      <w:r>
        <w:t xml:space="preserve">“will you tell?”</w:t>
      </w:r>
      <w:r>
        <w:t xml:space="preserve"> </w:t>
      </w:r>
      <w:r>
        <w:t xml:space="preserve">but</w:t>
      </w:r>
      <w:r>
        <w:t xml:space="preserve"> </w:t>
      </w:r>
      <w:r>
        <w:t xml:space="preserve">“can you testify to what you have already seen?”</w:t>
      </w:r>
      <w:r>
        <w:t xml:space="preserve"> </w:t>
      </w:r>
      <w:r>
        <w:t xml:space="preserve">The witness role is grounded in Israel’s historical experience of the LORD’s predictive word and redemptive acts — they</w:t>
      </w:r>
      <w:r>
        <w:t xml:space="preserve"> </w:t>
      </w:r>
      <w:r>
        <w:rPr>
          <w:i/>
          <w:iCs/>
        </w:rPr>
        <w:t xml:space="preserve">are</w:t>
      </w:r>
      <w:r>
        <w:t xml:space="preserve"> </w:t>
      </w:r>
      <w:r>
        <w:t xml:space="preserve">witnesses because of what has already happened to them and been announced through them, not because of what they are commissioned to do going forward. The evangelical application is legitimate (Israel’s witness role is indeed paradigmatic for the church’s mission), but the</w:t>
      </w:r>
      <w:r>
        <w:t xml:space="preserve"> </w:t>
      </w:r>
      <w:r>
        <w:rPr>
          <w:i/>
          <w:iCs/>
        </w:rPr>
        <w:t xml:space="preserve">ground</w:t>
      </w:r>
      <w:r>
        <w:t xml:space="preserve"> </w:t>
      </w:r>
      <w:r>
        <w:t xml:space="preserve">of the witness is the LORD’s prior acts and words, not Israel’s commission. The Reformed reading</w:t>
      </w:r>
      <w:r>
        <w:t xml:space="preserve"> </w:t>
      </w:r>
      <w:r>
        <w:rPr>
          <w:i/>
          <w:iCs/>
        </w:rPr>
        <w:t xml:space="preserve">qualifies</w:t>
      </w:r>
      <w:r>
        <w:t xml:space="preserve"> </w:t>
      </w:r>
      <w:r>
        <w:t xml:space="preserve">the evangelical reading: the witness flows from redemption already accomplished, not from a new commissioning standing independent of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14–15</w:t>
      </w:r>
      <w:r>
        <w:t xml:space="preserve"> </w:t>
      </w:r>
      <w:r>
        <w:t xml:space="preserve">— The original exodus from Egypt, which Isaiah 43:16–17 explicitly invokes and then supersedes; the new exodus announced in Isaiah 43 is intelligible only against the background of the first, and its escalation signals a greater redemptive act to come.</w:t>
      </w:r>
    </w:p>
    <w:p>
      <w:pPr>
        <w:numPr>
          <w:ilvl w:val="0"/>
          <w:numId w:val="1001"/>
        </w:numPr>
      </w:pPr>
      <w:r>
        <w:rPr>
          <w:b/>
          <w:bCs/>
        </w:rPr>
        <w:t xml:space="preserve">Deuteronomy 7:6–8</w:t>
      </w:r>
      <w:r>
        <w:t xml:space="preserve"> </w:t>
      </w:r>
      <w:r>
        <w:t xml:space="preserve">— The LORD’s election of Israel grounded explicitly in His love and His oath, not in Israel’s size or merit; provides the theological grammar for Isaiah 43:1–4’s</w:t>
      </w:r>
      <w:r>
        <w:t xml:space="preserve"> </w:t>
      </w:r>
      <w:r>
        <w:t xml:space="preserve">“I have loved you”</w:t>
      </w:r>
      <w:r>
        <w:t xml:space="preserve"> </w:t>
      </w:r>
      <w:r>
        <w:t xml:space="preserve">and</w:t>
      </w:r>
      <w:r>
        <w:t xml:space="preserve"> </w:t>
      </w:r>
      <w:r>
        <w:t xml:space="preserve">“you are precious in my sight.”</w:t>
      </w:r>
    </w:p>
    <w:p>
      <w:pPr>
        <w:numPr>
          <w:ilvl w:val="0"/>
          <w:numId w:val="1001"/>
        </w:numPr>
      </w:pPr>
      <w:r>
        <w:rPr>
          <w:b/>
          <w:bCs/>
        </w:rPr>
        <w:t xml:space="preserve">Isaiah 44:21–22</w:t>
      </w:r>
      <w:r>
        <w:t xml:space="preserve"> </w:t>
      </w:r>
      <w:r>
        <w:t xml:space="preserve">— Immediately following chapter 43, the LORD repeats the blotting-out of sins and the call to return, confirming that chapter 43’s forgiveness declaration is not isolated but is a governing theme of the Servant Songs section; the two passages form a doublet of sovereign grace.</w:t>
      </w:r>
    </w:p>
    <w:p>
      <w:pPr>
        <w:numPr>
          <w:ilvl w:val="0"/>
          <w:numId w:val="1001"/>
        </w:numPr>
      </w:pPr>
      <w:r>
        <w:rPr>
          <w:b/>
          <w:bCs/>
        </w:rPr>
        <w:t xml:space="preserve">Romans 8:31–39</w:t>
      </w:r>
      <w:r>
        <w:t xml:space="preserve"> </w:t>
      </w:r>
      <w:r>
        <w:t xml:space="preserve">— Paul’s declaration that nothing can separate the people of God from the love of God in Christ Jesus echoes the structure of Isaiah 43:1–7 directly: the same logic of</w:t>
      </w:r>
      <w:r>
        <w:t xml:space="preserve"> </w:t>
      </w:r>
      <w:r>
        <w:t xml:space="preserve">“you are mine,”</w:t>
      </w:r>
      <w:r>
        <w:t xml:space="preserve"> </w:t>
      </w:r>
      <w:r>
        <w:t xml:space="preserve">“I will be with you,”</w:t>
      </w:r>
      <w:r>
        <w:t xml:space="preserve"> </w:t>
      </w:r>
      <w:r>
        <w:t xml:space="preserve">and</w:t>
      </w:r>
      <w:r>
        <w:t xml:space="preserve"> </w:t>
      </w:r>
      <w:r>
        <w:t xml:space="preserve">“nothing will ultimately harm you”</w:t>
      </w:r>
      <w:r>
        <w:t xml:space="preserve"> </w:t>
      </w:r>
      <w:r>
        <w:t xml:space="preserve">is now grounded in the finished work of Christ; Romans 8 is the New Testament landing point of Isaiah 43’s promise.</w:t>
      </w:r>
    </w:p>
    <w:p>
      <w:pPr>
        <w:numPr>
          <w:ilvl w:val="0"/>
          <w:numId w:val="1001"/>
        </w:numPr>
      </w:pPr>
      <w:r>
        <w:rPr>
          <w:b/>
          <w:bCs/>
        </w:rPr>
        <w:t xml:space="preserve">1 Peter 2:9–10</w:t>
      </w:r>
      <w:r>
        <w:t xml:space="preserve"> </w:t>
      </w:r>
      <w:r>
        <w:t xml:space="preserve">— Peter applies Isaiah’s witness-language and election-language directly to the new covenant community (Gentile and Jewish believers together), confirming that Isaiah 43’s</w:t>
      </w:r>
      <w:r>
        <w:t xml:space="preserve"> </w:t>
      </w:r>
      <w:r>
        <w:t xml:space="preserve">“you are my witnesses”</w:t>
      </w:r>
      <w:r>
        <w:t xml:space="preserve"> </w:t>
      </w:r>
      <w:r>
        <w:t xml:space="preserve">and</w:t>
      </w:r>
      <w:r>
        <w:t xml:space="preserve"> </w:t>
      </w:r>
      <w:r>
        <w:t xml:space="preserve">“a people formed for myself”</w:t>
      </w:r>
      <w:r>
        <w:t xml:space="preserve"> </w:t>
      </w:r>
      <w:r>
        <w:t xml:space="preserve">reaches its climax in the church of Jesus Christ, not in ethnic Israel alone.</w:t>
      </w:r>
    </w:p>
    <w:p>
      <w:r>
        <w:pict>
          <v:rect style="width:0;height:1.5pt" o:hralign="center" o:hrstd="t" o:hr="t"/>
        </w:pict>
      </w:r>
    </w:p>
    <w:p>
      <w:pPr>
        <w:pStyle w:val="FirstParagraph"/>
      </w:pPr>
      <w:r>
        <w:rPr>
          <w:b/>
          <w:bCs/>
        </w:rPr>
        <w:t xml:space="preserve">Aim:</w:t>
      </w:r>
      <w:r>
        <w:t xml:space="preserve"> </w:t>
      </w:r>
      <w:r>
        <w:t xml:space="preserve">To lead readers from fear-driven spiritual withdrawal to confident, grounded witness — by anchoring them in the LORD’s prior, sovereign, self-motivated claim on their lives.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“But now”</w:t>
            </w:r>
            <w:r>
              <w:t xml:space="preserve"> </w:t>
            </w:r>
            <w:r>
              <w:t xml:space="preserve">— reversal; the LORD who formed Israel now redeems her;</w:t>
            </w:r>
            <w:r>
              <w:t xml:space="preserve"> </w:t>
            </w:r>
            <w:r>
              <w:t xml:space="preserve">“do not fear”</w:t>
            </w:r>
            <w:r>
              <w:t xml:space="preserve">;</w:t>
            </w:r>
            <w:r>
              <w:t xml:space="preserve"> </w:t>
            </w:r>
            <w:r>
              <w:t xml:space="preserve">“I have called you by name; you are mine”</w:t>
            </w:r>
          </w:p>
        </w:tc>
        <w:tc>
          <w:tcPr/>
          <w:p>
            <w:pPr>
              <w:pStyle w:val="Compact"/>
            </w:pPr>
            <w:r>
              <w:t xml:space="preserve">The</w:t>
            </w:r>
            <w:r>
              <w:t xml:space="preserve"> </w:t>
            </w:r>
            <w:r>
              <w:t xml:space="preserve">“but now”</w:t>
            </w:r>
            <w:r>
              <w:t xml:space="preserve"> </w:t>
            </w:r>
            <w:r>
              <w:t xml:space="preserve">(וְעַתָּה) is the pivot from 42:24–25’s judgment; election language is intensely personal</w:t>
            </w:r>
          </w:p>
        </w:tc>
      </w:tr>
      <w:tr>
        <w:tc>
          <w:tcPr/>
          <w:p>
            <w:pPr>
              <w:pStyle w:val="Compact"/>
            </w:pPr>
            <w:r>
              <w:t xml:space="preserve">2</w:t>
            </w:r>
          </w:p>
        </w:tc>
        <w:tc>
          <w:tcPr/>
          <w:p>
            <w:pPr>
              <w:pStyle w:val="Compact"/>
            </w:pPr>
            <w:r>
              <w:t xml:space="preserve">Waters, rivers, fire — presence through every ordeal;</w:t>
            </w:r>
            <w:r>
              <w:t xml:space="preserve"> </w:t>
            </w:r>
            <w:r>
              <w:t xml:space="preserve">“I will be with you”</w:t>
            </w:r>
          </w:p>
        </w:tc>
        <w:tc>
          <w:tcPr/>
          <w:p>
            <w:pPr>
              <w:pStyle w:val="Compact"/>
            </w:pPr>
            <w:r>
              <w:t xml:space="preserve">The trials are not denied; the promise is companionship through them, not exemption</w:t>
            </w:r>
          </w:p>
        </w:tc>
      </w:tr>
      <w:tr>
        <w:tc>
          <w:tcPr/>
          <w:p>
            <w:pPr>
              <w:pStyle w:val="Compact"/>
            </w:pPr>
            <w:r>
              <w:t xml:space="preserve">3–4</w:t>
            </w:r>
          </w:p>
        </w:tc>
        <w:tc>
          <w:tcPr/>
          <w:p>
            <w:pPr>
              <w:pStyle w:val="Compact"/>
            </w:pPr>
            <w:r>
              <w:t xml:space="preserve">“I am the LORD your God, the Holy One of Israel, your Savior”</w:t>
            </w:r>
            <w:r>
              <w:t xml:space="preserve">; Egypt, Cush, Seba as ransom;</w:t>
            </w:r>
            <w:r>
              <w:t xml:space="preserve"> </w:t>
            </w:r>
            <w:r>
              <w:t xml:space="preserve">“you are precious and honored in my sight, and I love you”</w:t>
            </w:r>
          </w:p>
        </w:tc>
        <w:tc>
          <w:tcPr/>
          <w:p>
            <w:pPr>
              <w:pStyle w:val="Compact"/>
            </w:pPr>
            <w:r>
              <w:t xml:space="preserve">The most remarkable statement of divine affection for Israel in the entire OT; explicitly unconditioned</w:t>
            </w:r>
          </w:p>
        </w:tc>
      </w:tr>
      <w:tr>
        <w:tc>
          <w:tcPr/>
          <w:p>
            <w:pPr>
              <w:pStyle w:val="Compact"/>
            </w:pPr>
            <w:r>
              <w:t xml:space="preserve">5–7</w:t>
            </w:r>
          </w:p>
        </w:tc>
        <w:tc>
          <w:tcPr/>
          <w:p>
            <w:pPr>
              <w:pStyle w:val="Compact"/>
            </w:pPr>
            <w:r>
              <w:t xml:space="preserve">“Do not fear, for I am with you”</w:t>
            </w:r>
            <w:r>
              <w:t xml:space="preserve">; the regathering of Israel from all directions;</w:t>
            </w:r>
            <w:r>
              <w:t xml:space="preserve"> </w:t>
            </w:r>
            <w:r>
              <w:t xml:space="preserve">“everyone called by my name, whom I created for my glory”</w:t>
            </w:r>
          </w:p>
        </w:tc>
        <w:tc>
          <w:tcPr/>
          <w:p>
            <w:pPr>
              <w:pStyle w:val="Compact"/>
            </w:pPr>
            <w:r>
              <w:t xml:space="preserve">The purpose of Israel’s existence is God’s glory — eschatological regathering in view</w:t>
            </w:r>
          </w:p>
        </w:tc>
      </w:tr>
      <w:tr>
        <w:tc>
          <w:tcPr/>
          <w:p>
            <w:pPr>
              <w:pStyle w:val="Compact"/>
            </w:pPr>
            <w:r>
              <w:t xml:space="preserve">8–9</w:t>
            </w:r>
          </w:p>
        </w:tc>
        <w:tc>
          <w:tcPr/>
          <w:p>
            <w:pPr>
              <w:pStyle w:val="Compact"/>
            </w:pPr>
            <w:r>
              <w:t xml:space="preserve">The nations summoned to the courtroom — who has declared former things?</w:t>
            </w:r>
          </w:p>
        </w:tc>
        <w:tc>
          <w:tcPr/>
          <w:p>
            <w:pPr>
              <w:pStyle w:val="Compact"/>
            </w:pPr>
            <w:r>
              <w:t xml:space="preserve">The רִיב (lawsuit) form; the challenge is to produce a comparable witness</w:t>
            </w:r>
          </w:p>
        </w:tc>
      </w:tr>
      <w:tr>
        <w:tc>
          <w:tcPr/>
          <w:p>
            <w:pPr>
              <w:pStyle w:val="Compact"/>
            </w:pPr>
            <w:r>
              <w:t xml:space="preserve">10–12</w:t>
            </w:r>
          </w:p>
        </w:tc>
        <w:tc>
          <w:tcPr/>
          <w:p>
            <w:pPr>
              <w:pStyle w:val="Compact"/>
            </w:pPr>
            <w:r>
              <w:t xml:space="preserve">“You are my witnesses”</w:t>
            </w:r>
            <w:r>
              <w:t xml:space="preserve"> </w:t>
            </w:r>
            <w:r>
              <w:t xml:space="preserve">— Israel has heard, known, and believed; the LORD is the only God, savior, and declarer</w:t>
            </w:r>
          </w:p>
        </w:tc>
        <w:tc>
          <w:tcPr/>
          <w:p>
            <w:pPr>
              <w:pStyle w:val="Compact"/>
            </w:pPr>
            <w:r>
              <w:t xml:space="preserve">The witness role is grounded in prior experience, not new commission; three-fold claim: I declared, I saved, I announced</w:t>
            </w:r>
          </w:p>
        </w:tc>
      </w:tr>
      <w:tr>
        <w:tc>
          <w:tcPr/>
          <w:p>
            <w:pPr>
              <w:pStyle w:val="Compact"/>
            </w:pPr>
            <w:r>
              <w:t xml:space="preserve">13</w:t>
            </w:r>
          </w:p>
        </w:tc>
        <w:tc>
          <w:tcPr/>
          <w:p>
            <w:pPr>
              <w:pStyle w:val="Compact"/>
            </w:pPr>
            <w:r>
              <w:t xml:space="preserve">“From ancient days I am he”</w:t>
            </w:r>
            <w:r>
              <w:t xml:space="preserve"> </w:t>
            </w:r>
            <w:r>
              <w:t xml:space="preserve">— the LORD’s eternal, unassailable sovereignty</w:t>
            </w:r>
          </w:p>
        </w:tc>
        <w:tc>
          <w:tcPr/>
          <w:p>
            <w:pPr>
              <w:pStyle w:val="Compact"/>
            </w:pPr>
            <w:r>
              <w:t xml:space="preserve">No one can reverse what God does</w:t>
            </w:r>
          </w:p>
        </w:tc>
      </w:tr>
      <w:tr>
        <w:tc>
          <w:tcPr/>
          <w:p>
            <w:pPr>
              <w:pStyle w:val="Compact"/>
            </w:pPr>
            <w:r>
              <w:t xml:space="preserve">14–15</w:t>
            </w:r>
          </w:p>
        </w:tc>
        <w:tc>
          <w:tcPr/>
          <w:p>
            <w:pPr>
              <w:pStyle w:val="Compact"/>
            </w:pPr>
            <w:r>
              <w:t xml:space="preserve">The LORD is about to send to Babylon for Israel’s sake; He is Israel’s Redeemer, Holy One, King</w:t>
            </w:r>
          </w:p>
        </w:tc>
        <w:tc>
          <w:tcPr/>
          <w:p>
            <w:pPr>
              <w:pStyle w:val="Compact"/>
            </w:pPr>
            <w:r>
              <w:t xml:space="preserve">Anticipates Cyrus;</w:t>
            </w:r>
            <w:r>
              <w:t xml:space="preserve"> </w:t>
            </w:r>
            <w:r>
              <w:t xml:space="preserve">“for your sake”</w:t>
            </w:r>
            <w:r>
              <w:t xml:space="preserve"> </w:t>
            </w:r>
            <w:r>
              <w:t xml:space="preserve">again emphasizes divine self-motivation</w:t>
            </w:r>
          </w:p>
        </w:tc>
      </w:tr>
      <w:tr>
        <w:tc>
          <w:tcPr/>
          <w:p>
            <w:pPr>
              <w:pStyle w:val="Compact"/>
            </w:pPr>
            <w:r>
              <w:t xml:space="preserve">16–17</w:t>
            </w:r>
          </w:p>
        </w:tc>
        <w:tc>
          <w:tcPr/>
          <w:p>
            <w:pPr>
              <w:pStyle w:val="Compact"/>
            </w:pPr>
            <w:r>
              <w:t xml:space="preserve">Exodus typology — the LORD who made a way in the sea</w:t>
            </w:r>
          </w:p>
        </w:tc>
        <w:tc>
          <w:tcPr/>
          <w:p>
            <w:pPr>
              <w:pStyle w:val="Compact"/>
            </w:pPr>
            <w:r>
              <w:t xml:space="preserve">The past exodus is cited as paradigm for what is coming</w:t>
            </w:r>
          </w:p>
        </w:tc>
      </w:tr>
      <w:tr>
        <w:tc>
          <w:tcPr/>
          <w:p>
            <w:pPr>
              <w:pStyle w:val="Compact"/>
            </w:pPr>
            <w:r>
              <w:t xml:space="preserve">18–19</w:t>
            </w:r>
          </w:p>
        </w:tc>
        <w:tc>
          <w:tcPr/>
          <w:p>
            <w:pPr>
              <w:pStyle w:val="Compact"/>
            </w:pPr>
            <w:r>
              <w:t xml:space="preserve">“Forget the former things”</w:t>
            </w:r>
            <w:r>
              <w:t xml:space="preserve"> </w:t>
            </w:r>
            <w:r>
              <w:t xml:space="preserve">— the new thing is being done now; a way in the wilderness, rivers in the desert</w:t>
            </w:r>
          </w:p>
        </w:tc>
        <w:tc>
          <w:tcPr/>
          <w:p>
            <w:pPr>
              <w:pStyle w:val="Compact"/>
            </w:pPr>
            <w:r>
              <w:t xml:space="preserve">The escalation: the new thing will so surpass the old that the old need not be the primary reference point</w:t>
            </w:r>
          </w:p>
        </w:tc>
      </w:tr>
      <w:tr>
        <w:tc>
          <w:tcPr/>
          <w:p>
            <w:pPr>
              <w:pStyle w:val="Compact"/>
            </w:pPr>
            <w:r>
              <w:t xml:space="preserve">20–21</w:t>
            </w:r>
          </w:p>
        </w:tc>
        <w:tc>
          <w:tcPr/>
          <w:p>
            <w:pPr>
              <w:pStyle w:val="Compact"/>
            </w:pPr>
            <w:r>
              <w:t xml:space="preserve">Wild animals will honor the LORD;</w:t>
            </w:r>
            <w:r>
              <w:t xml:space="preserve"> </w:t>
            </w:r>
            <w:r>
              <w:t xml:space="preserve">“I provide water in the wilderness”</w:t>
            </w:r>
            <w:r>
              <w:t xml:space="preserve"> </w:t>
            </w:r>
            <w:r>
              <w:t xml:space="preserve">— for</w:t>
            </w:r>
            <w:r>
              <w:t xml:space="preserve"> </w:t>
            </w:r>
            <w:r>
              <w:t xml:space="preserve">“my chosen people, the people I formed for myself, that they may proclaim my praise”</w:t>
            </w:r>
          </w:p>
        </w:tc>
        <w:tc>
          <w:tcPr/>
          <w:p>
            <w:pPr>
              <w:pStyle w:val="Compact"/>
            </w:pPr>
            <w:r>
              <w:t xml:space="preserve">The purpose clause at the end is load-bearing: all of redemption is oriented toward doxology</w:t>
            </w:r>
          </w:p>
        </w:tc>
      </w:tr>
      <w:tr>
        <w:tc>
          <w:tcPr/>
          <w:p>
            <w:pPr>
              <w:pStyle w:val="Compact"/>
            </w:pPr>
            <w:r>
              <w:t xml:space="preserve">22–24</w:t>
            </w:r>
          </w:p>
        </w:tc>
        <w:tc>
          <w:tcPr/>
          <w:p>
            <w:pPr>
              <w:pStyle w:val="Compact"/>
            </w:pPr>
            <w:r>
              <w:t xml:space="preserve">Reversal: Israel has not called on the LORD, has not brought offerings, has burdened God with sins</w:t>
            </w:r>
          </w:p>
        </w:tc>
        <w:tc>
          <w:tcPr/>
          <w:p>
            <w:pPr>
              <w:pStyle w:val="Compact"/>
            </w:pPr>
            <w:r>
              <w:t xml:space="preserve">The indictment is comprehensive — failure of worship, prayer, and faithfulness</w:t>
            </w:r>
          </w:p>
        </w:tc>
      </w:tr>
      <w:tr>
        <w:tc>
          <w:tcPr/>
          <w:p>
            <w:pPr>
              <w:pStyle w:val="Compact"/>
            </w:pPr>
            <w:r>
              <w:t xml:space="preserve">25</w:t>
            </w:r>
          </w:p>
        </w:tc>
        <w:tc>
          <w:tcPr/>
          <w:p>
            <w:pPr>
              <w:pStyle w:val="Compact"/>
            </w:pPr>
            <w:r>
              <w:t xml:space="preserve">“I, even I, am he who blots out your transgressions for my own sake”</w:t>
            </w:r>
          </w:p>
        </w:tc>
        <w:tc>
          <w:tcPr/>
          <w:p>
            <w:pPr>
              <w:pStyle w:val="Compact"/>
            </w:pPr>
            <w:r>
              <w:t xml:space="preserve">The theological center of the chapter; grace is entirely unilateral and self-motivated</w:t>
            </w:r>
          </w:p>
        </w:tc>
      </w:tr>
      <w:tr>
        <w:tc>
          <w:tcPr/>
          <w:p>
            <w:pPr>
              <w:pStyle w:val="Compact"/>
            </w:pPr>
            <w:r>
              <w:t xml:space="preserve">26–28</w:t>
            </w:r>
          </w:p>
        </w:tc>
        <w:tc>
          <w:tcPr/>
          <w:p>
            <w:pPr>
              <w:pStyle w:val="Compact"/>
            </w:pPr>
            <w:r>
              <w:t xml:space="preserve">“Let us argue it out together”</w:t>
            </w:r>
            <w:r>
              <w:t xml:space="preserve"> </w:t>
            </w:r>
            <w:r>
              <w:t xml:space="preserve">— the LORD invites Israel to make her case, but the case collapses; ancestors sinned; mediators profaned; Jacob was devoted to destruction</w:t>
            </w:r>
          </w:p>
        </w:tc>
        <w:tc>
          <w:tcPr/>
          <w:p>
            <w:pPr>
              <w:pStyle w:val="Compact"/>
            </w:pPr>
            <w:r>
              <w:t xml:space="preserve">The legal argument ends with Israel having no case — making verse 25 all the more staggering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LORD’s Personal Claim: You Are Mine</w:t>
            </w:r>
          </w:p>
        </w:tc>
      </w:tr>
      <w:tr>
        <w:tc>
          <w:tcPr/>
          <w:p>
            <w:pPr>
              <w:pStyle w:val="Compact"/>
            </w:pPr>
            <w:r>
              <w:t xml:space="preserve">2</w:t>
            </w:r>
          </w:p>
        </w:tc>
        <w:tc>
          <w:tcPr/>
          <w:p>
            <w:pPr>
              <w:pStyle w:val="Compact"/>
            </w:pPr>
            <w:r>
              <w:t xml:space="preserve">8–13</w:t>
            </w:r>
          </w:p>
        </w:tc>
        <w:tc>
          <w:tcPr/>
          <w:p>
            <w:pPr>
              <w:pStyle w:val="Compact"/>
            </w:pPr>
            <w:r>
              <w:t xml:space="preserve">The Courtroom Witness: I Alone Am God</w:t>
            </w:r>
          </w:p>
        </w:tc>
      </w:tr>
      <w:tr>
        <w:tc>
          <w:tcPr/>
          <w:p>
            <w:pPr>
              <w:pStyle w:val="Compact"/>
            </w:pPr>
            <w:r>
              <w:t xml:space="preserve">3</w:t>
            </w:r>
          </w:p>
        </w:tc>
        <w:tc>
          <w:tcPr/>
          <w:p>
            <w:pPr>
              <w:pStyle w:val="Compact"/>
            </w:pPr>
            <w:r>
              <w:t xml:space="preserve">14–21</w:t>
            </w:r>
          </w:p>
        </w:tc>
        <w:tc>
          <w:tcPr/>
          <w:p>
            <w:pPr>
              <w:pStyle w:val="Compact"/>
            </w:pPr>
            <w:r>
              <w:t xml:space="preserve">The New Thing: A Greater Exodus Is Coming</w:t>
            </w:r>
          </w:p>
        </w:tc>
      </w:tr>
      <w:tr>
        <w:tc>
          <w:tcPr/>
          <w:p>
            <w:pPr>
              <w:pStyle w:val="Compact"/>
            </w:pPr>
            <w:r>
              <w:t xml:space="preserve">4</w:t>
            </w:r>
          </w:p>
        </w:tc>
        <w:tc>
          <w:tcPr/>
          <w:p>
            <w:pPr>
              <w:pStyle w:val="Compact"/>
            </w:pPr>
            <w:r>
              <w:t xml:space="preserve">22–28</w:t>
            </w:r>
          </w:p>
        </w:tc>
        <w:tc>
          <w:tcPr/>
          <w:p>
            <w:pPr>
              <w:pStyle w:val="Compact"/>
            </w:pPr>
            <w:r>
              <w:t xml:space="preserve">The Indictment and the Grace: Forgiven For My Own Sake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reclaims His fearful, sin-burdened people by His sovereign, unilateral, self-motivated grace.</w:t>
      </w:r>
    </w:p>
    <w:p>
      <w:pPr>
        <w:pStyle w:val="BodyText"/>
      </w:pPr>
      <w:r>
        <w:rPr>
          <w:b/>
          <w:bCs/>
        </w:rPr>
        <w:t xml:space="preserve">Primary Claim:</w:t>
      </w:r>
      <w:r>
        <w:t xml:space="preserve"> </w:t>
      </w:r>
      <w:r>
        <w:t xml:space="preserve">God is calling His exiled, afraid, and spiritually negligent people back to Himself — not on the basis of their faithfulness but on the sole basis of His own electing love and His determination to blot out their transgressions for His name’s sake — so that they will stop living in fear and start living as His named, known, and redeemed witnesses.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Your worst season is not evidence that God has abandoned you — it is the occasion in which He most specifically declares His claim on you.</w:t>
      </w:r>
      <w:r>
        <w:t xml:space="preserve"> </w:t>
      </w:r>
      <w:r>
        <w:rPr>
          <w:i/>
          <w:iCs/>
        </w:rPr>
        <w:t xml:space="preserve">(Mind/belief)</w:t>
      </w:r>
    </w:p>
    <w:p>
      <w:pPr>
        <w:pStyle w:val="BodyText"/>
      </w:pPr>
      <w:r>
        <w:t xml:space="preserve">Isaiah 43 opens with</w:t>
      </w:r>
      <w:r>
        <w:t xml:space="preserve"> </w:t>
      </w:r>
      <w:r>
        <w:t xml:space="preserve">“but now”</w:t>
      </w:r>
      <w:r>
        <w:t xml:space="preserve"> </w:t>
      </w:r>
      <w:r>
        <w:t xml:space="preserve">immediately after the LORD has just explained that Israel’s disaster was His judgment. The sequence is not an accident. The comfort of verses 1–7 does not come after Israel has cleaned up — it comes directly into the rubble of their ruin. The person sitting in the hardest chapter of their life and interpreting that hardness as evidence of divine abandonment is misreading the text of their own story. God’s</w:t>
      </w:r>
      <w:r>
        <w:t xml:space="preserve"> </w:t>
      </w:r>
      <w:r>
        <w:t xml:space="preserve">“do not fear”</w:t>
      </w:r>
      <w:r>
        <w:t xml:space="preserve"> </w:t>
      </w:r>
      <w:r>
        <w:t xml:space="preserve">is spoken into the fire and the water, not after them. Your theology of suffering needs to be rebuilt around God’s presence</w:t>
      </w:r>
      <w:r>
        <w:t xml:space="preserve"> </w:t>
      </w:r>
      <w:r>
        <w:rPr>
          <w:i/>
          <w:iCs/>
        </w:rPr>
        <w:t xml:space="preserve">through</w:t>
      </w:r>
      <w:r>
        <w:t xml:space="preserve"> </w:t>
      </w:r>
      <w:r>
        <w:t xml:space="preserve">the ordeal, not His exemption of you from it.</w:t>
      </w:r>
    </w:p>
    <w:p>
      <w:pPr>
        <w:pStyle w:val="BodyText"/>
      </w:pPr>
      <w:r>
        <w:rPr>
          <w:b/>
          <w:bCs/>
        </w:rPr>
        <w:t xml:space="preserve">2. The terrifying thing about sovereign grace is that it has nothing to do with you — and that is the only thing that makes it safe to rest in.</w:t>
      </w:r>
      <w:r>
        <w:t xml:space="preserve"> </w:t>
      </w:r>
      <w:r>
        <w:rPr>
          <w:i/>
          <w:iCs/>
        </w:rPr>
        <w:t xml:space="preserve">(Affections/worship)</w:t>
      </w:r>
    </w:p>
    <w:p>
      <w:pPr>
        <w:pStyle w:val="BodyText"/>
      </w:pPr>
      <w:r>
        <w:t xml:space="preserve">Verse 25 is the most unsettling and the most comforting verse in the chapter simultaneously:</w:t>
      </w:r>
      <w:r>
        <w:t xml:space="preserve"> </w:t>
      </w:r>
      <w:r>
        <w:t xml:space="preserve">“I, even I, am he who blots out your transgressions</w:t>
      </w:r>
      <w:r>
        <w:t xml:space="preserve"> </w:t>
      </w:r>
      <w:r>
        <w:rPr>
          <w:i/>
          <w:iCs/>
        </w:rPr>
        <w:t xml:space="preserve">for my own sake</w:t>
      </w:r>
      <w:r>
        <w:t xml:space="preserve">.”</w:t>
      </w:r>
      <w:r>
        <w:t xml:space="preserve"> </w:t>
      </w:r>
      <w:r>
        <w:t xml:space="preserve">God does not forgive you because you finally got your devotional life together. He forgives you because His name requires it, His character demands it, and His covenant promises it. The people who find this offensive are the people who still believe, at some level, that their spiritual performance is the variable controlling God’s disposition toward them. The chapter calls for a reorientation of worship — away from self-assessment and toward awe at a God whose forgiveness is categorically more stable than anything you could produce.</w:t>
      </w:r>
    </w:p>
    <w:p>
      <w:pPr>
        <w:pStyle w:val="BodyText"/>
      </w:pPr>
      <w:r>
        <w:rPr>
          <w:b/>
          <w:bCs/>
        </w:rPr>
        <w:t xml:space="preserve">3. If you have stopped praying, stopped bringing your whole self to God, stopped making Him your first call — verses 22–24 are your diagnosis, not just Israel’s history.</w:t>
      </w:r>
      <w:r>
        <w:t xml:space="preserve"> </w:t>
      </w:r>
      <w:r>
        <w:rPr>
          <w:i/>
          <w:iCs/>
        </w:rPr>
        <w:t xml:space="preserve">(Will/behavior)</w:t>
      </w:r>
    </w:p>
    <w:p>
      <w:pPr>
        <w:pStyle w:val="BodyText"/>
      </w:pPr>
      <w:r>
        <w:t xml:space="preserve">The LORD’s indictment is specific:</w:t>
      </w:r>
      <w:r>
        <w:t xml:space="preserve"> </w:t>
      </w:r>
      <w:r>
        <w:t xml:space="preserve">“You have not called on me, O Jacob”</w:t>
      </w:r>
      <w:r>
        <w:t xml:space="preserve"> </w:t>
      </w:r>
      <w:r>
        <w:t xml:space="preserve">(v. 22). Israel’s spiritual failure was not primarily moral collapse — it was relational withdrawal. They stopped talking to God. The application is equally specific: identify the most pressing need in your life right now that you have been managing, worrying about, strategizing around, and complaining to others about — but not praying about. The chapter calls for the concrete, immediate resumption of calling on the LORD. Not a general recommitment to prayer. Calling on Him. About that thing.</w:t>
      </w:r>
    </w:p>
    <w:p>
      <w:pPr>
        <w:pStyle w:val="BodyText"/>
      </w:pPr>
      <w:r>
        <w:rPr>
          <w:b/>
          <w:bCs/>
        </w:rPr>
        <w:t xml:space="preserve">4. You are a witness because of what you have seen and survived — not because you were commissioned.</w:t>
      </w:r>
      <w:r>
        <w:t xml:space="preserve"> </w:t>
      </w:r>
      <w:r>
        <w:rPr>
          <w:i/>
          <w:iCs/>
        </w:rPr>
        <w:t xml:space="preserve">(Mind/belief)</w:t>
      </w:r>
    </w:p>
    <w:p>
      <w:pPr>
        <w:pStyle w:val="BodyText"/>
      </w:pPr>
      <w:r>
        <w:t xml:space="preserve">The witness role in verses 10–12 is grounded in Israel’s prior experience of the LORD — they have seen His predictions come true, experienced His salvation, heard His declarations. They do not become witnesses by deciding to witness; they already are witnesses because of what has happened to them. Christians who feel unqualified to speak about God because they lack theological training or a dramatic conversion story are operating with the wrong framework. The question is not</w:t>
      </w:r>
      <w:r>
        <w:t xml:space="preserve"> </w:t>
      </w:r>
      <w:r>
        <w:t xml:space="preserve">“are you trained?”</w:t>
      </w:r>
      <w:r>
        <w:t xml:space="preserve"> </w:t>
      </w:r>
      <w:r>
        <w:t xml:space="preserve">but</w:t>
      </w:r>
      <w:r>
        <w:t xml:space="preserve"> </w:t>
      </w:r>
      <w:r>
        <w:t xml:space="preserve">“have you seen? Have you known? Have you believed?”</w:t>
      </w:r>
      <w:r>
        <w:t xml:space="preserve"> </w:t>
      </w:r>
      <w:r>
        <w:t xml:space="preserve">If yes, you are already a witness. The testimony is the story of what He has done, not the deployment of a technique.</w:t>
      </w:r>
    </w:p>
    <w:p>
      <w:pPr>
        <w:pStyle w:val="BodyText"/>
      </w:pPr>
      <w:r>
        <w:rPr>
          <w:b/>
          <w:bCs/>
        </w:rPr>
        <w:t xml:space="preserve">5. The new thing God is doing in your life right now is meant to make you stop living entirely inside the old story.</w:t>
      </w:r>
      <w:r>
        <w:t xml:space="preserve"> </w:t>
      </w:r>
      <w:r>
        <w:rPr>
          <w:i/>
          <w:iCs/>
        </w:rPr>
        <w:t xml:space="preserve">(Affections/worship)</w:t>
      </w:r>
    </w:p>
    <w:p>
      <w:pPr>
        <w:pStyle w:val="BodyText"/>
      </w:pPr>
      <w:r>
        <w:t xml:space="preserve">Verses 18–19 are a command disguised as a promise:</w:t>
      </w:r>
      <w:r>
        <w:t xml:space="preserve"> </w:t>
      </w:r>
      <w:r>
        <w:t xml:space="preserve">“Forget the former things; do not dwell on the past. See, I am doing a new thing!”</w:t>
      </w:r>
      <w:r>
        <w:t xml:space="preserve"> </w:t>
      </w:r>
      <w:r>
        <w:t xml:space="preserve">Israel was so anchored to the old exodus, so defined by the great redemptive act of the past, that they could not perceive the larger thing God was already initiating. The pastoral application runs in both directions. For those dwelling in former glory (</w:t>
      </w:r>
      <w:r>
        <w:t xml:space="preserve">“this church used to be…”</w:t>
      </w:r>
      <w:r>
        <w:t xml:space="preserve">;</w:t>
      </w:r>
      <w:r>
        <w:t xml:space="preserve"> </w:t>
      </w:r>
      <w:r>
        <w:t xml:space="preserve">“I used to feel…”</w:t>
      </w:r>
      <w:r>
        <w:t xml:space="preserve">;</w:t>
      </w:r>
      <w:r>
        <w:t xml:space="preserve"> </w:t>
      </w:r>
      <w:r>
        <w:t xml:space="preserve">“God used to move…”</w:t>
      </w:r>
      <w:r>
        <w:t xml:space="preserve">), the call is to lift your eyes to what He is doing now. For those dwelling in former shame and failure, the call is equally urgent: the blotting out of verse 25 means that the old story is not the defining story. There is a new thing. Stop demanding to live in the past when the living God is in the present.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43 teaches that the LORD’s redemptive activity toward His people is grounded entirely in His own character and covenant commitment, not in anything He finds in them. The explicit statement of verse 25 —</w:t>
      </w:r>
      <w:r>
        <w:t xml:space="preserve"> </w:t>
      </w:r>
      <w:r>
        <w:t xml:space="preserve">“for my own sake”</w:t>
      </w:r>
      <w:r>
        <w:t xml:space="preserve"> </w:t>
      </w:r>
      <w:r>
        <w:t xml:space="preserve">— is not an isolated proof-text but the theological conclusion of a chapter that has demonstrated God’s electing love (v. 4), His sovereign foreknowledge and prediction (vv. 9–12), and His unilateral decision to execute a new redemptive act on Israel’s behalf (vv. 14–21). God’s holiness and His mercy are not in tension here — they are both expressions of the same sovereign freedom. He is the Holy One of Israel (v. 3) who is simultaneously the Savior — and it is precisely His holiness that makes His forgiveness of a sinful people so staggering. The chapter also establishes that Israel’s identity is constituted by divine naming and claiming (v. 1), not by ethnic or moral achievement — a doctrine that anticipates the New Testament’s teaching on adoption and new creation.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43 is a sustained Old Testament exhibition of the doctrines of grace — particularly unconditional election and irresistible grace — worked out in the covenant relationship between the LORD and Israel. The phrase</w:t>
      </w:r>
      <w:r>
        <w:t xml:space="preserve"> </w:t>
      </w:r>
      <w:r>
        <w:t xml:space="preserve">“for my own sake”</w:t>
      </w:r>
      <w:r>
        <w:t xml:space="preserve"> </w:t>
      </w:r>
      <w:r>
        <w:t xml:space="preserve">in verse 25 is a direct anticipation of what Reformed theology calls the</w:t>
      </w:r>
      <w:r>
        <w:t xml:space="preserve"> </w:t>
      </w:r>
      <w:r>
        <w:rPr>
          <w:i/>
          <w:iCs/>
        </w:rPr>
        <w:t xml:space="preserve">solus Deus</w:t>
      </w:r>
      <w:r>
        <w:t xml:space="preserve"> </w:t>
      </w:r>
      <w:r>
        <w:t xml:space="preserve">principle in salvation: God saves not because He was moved by something in the creature but because His own name and glory require it. This is the logic of Ephesians 1 (</w:t>
      </w:r>
      <w:r>
        <w:t xml:space="preserve">“to the praise of his glorious grace”</w:t>
      </w:r>
      <w:r>
        <w:t xml:space="preserve">) and Romans 9 (</w:t>
      </w:r>
      <w:r>
        <w:t xml:space="preserve">“not because of works but because of him who calls”</w:t>
      </w:r>
      <w:r>
        <w:t xml:space="preserve">) read backward into the Old Testament. The chapter also displays the</w:t>
      </w:r>
      <w:r>
        <w:t xml:space="preserve"> </w:t>
      </w:r>
      <w:r>
        <w:rPr>
          <w:i/>
          <w:iCs/>
        </w:rPr>
        <w:t xml:space="preserve">Deus absconditus</w:t>
      </w:r>
      <w:r>
        <w:t xml:space="preserve"> </w:t>
      </w:r>
      <w:r>
        <w:t xml:space="preserve">structure of Reformed covenant theology: God is hidden in the ordeal (fire, water, exile) but is not absent — His hiddenness is itself an act of sovereign accompaniment. And the chapter’s movement from indictment (vv. 22–24) to free forgiveness (v. 25) without any intervening condition prefigures the Reformation’s recovery of justification by grace alone through faith alone — the sinner stands condemned, makes no case, and is forgiven by the sheer decision of a gracious God whose name would be honored in mercy.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has already called you by name, claimed you as His own, announced that He will be with you through the worst thing that happens to you, and declared that He has blotted out your sins — not because you finally deserved it, but because His name required it. You are not an abandoned exile. You are a named, known, purchased, and forgiven witness. Stop living in fear of what He has already walked through with you, and stop performing for a verdict He has already rendered in your favor.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verse 1 as a comfort promise without preaching its elective ground.</w:t>
      </w:r>
      <w:r>
        <w:t xml:space="preserve"> </w:t>
      </w:r>
      <w:r>
        <w:t xml:space="preserve">“I have called you by name; you are mine”</w:t>
      </w:r>
      <w:r>
        <w:t xml:space="preserve"> </w:t>
      </w:r>
      <w:r>
        <w:t xml:space="preserve">is one of the most beloved verses in Isaiah, and it is regularly cited as warm personal assurance without any reference to its theological basis. The comfort is real, but it is grounded in the LORD’s sovereign election, not in Israel’s worth or the hearer’s spiritual health. Preaching the comfort without the ground produces sentimentality — it makes God’s love feel like a nice feeling rather than a settled ontological reality. The preacher must insist that what makes this safe to rest in is precisely that it does not depend on you.</w:t>
      </w:r>
    </w:p>
    <w:p>
      <w:pPr>
        <w:numPr>
          <w:ilvl w:val="0"/>
          <w:numId w:val="1002"/>
        </w:numPr>
      </w:pPr>
      <w:r>
        <w:rPr>
          <w:b/>
          <w:bCs/>
        </w:rPr>
        <w:t xml:space="preserve">Reading</w:t>
      </w:r>
      <w:r>
        <w:rPr>
          <w:b/>
          <w:bCs/>
        </w:rPr>
        <w:t xml:space="preserve"> </w:t>
      </w:r>
      <w:r>
        <w:rPr>
          <w:b/>
          <w:bCs/>
        </w:rPr>
        <w:t xml:space="preserve">“forget the former things”</w:t>
      </w:r>
      <w:r>
        <w:rPr>
          <w:b/>
          <w:bCs/>
        </w:rPr>
        <w:t xml:space="preserve"> </w:t>
      </w:r>
      <w:r>
        <w:rPr>
          <w:b/>
          <w:bCs/>
        </w:rPr>
        <w:t xml:space="preserve">(v. 18) as a simple self-help principle about leaving the past behind.</w:t>
      </w:r>
      <w:r>
        <w:t xml:space="preserve"> </w:t>
      </w:r>
      <w:r>
        <w:t xml:space="preserve">This verse has been heavily recruited into therapeutic, motivational, and grief-recovery frameworks entirely detached from its redemptive-historical context. Isaiah is not saying</w:t>
      </w:r>
      <w:r>
        <w:t xml:space="preserve"> </w:t>
      </w:r>
      <w:r>
        <w:t xml:space="preserve">“stop dwelling on the past because it’s unhealthy.”</w:t>
      </w:r>
      <w:r>
        <w:t xml:space="preserve"> </w:t>
      </w:r>
      <w:r>
        <w:t xml:space="preserve">He is saying</w:t>
      </w:r>
      <w:r>
        <w:t xml:space="preserve"> </w:t>
      </w:r>
      <w:r>
        <w:t xml:space="preserve">“stop making the old exodus your primary redemptive reference point because I am doing something categorically larger.”</w:t>
      </w:r>
      <w:r>
        <w:t xml:space="preserve"> </w:t>
      </w:r>
      <w:r>
        <w:t xml:space="preserve">The application to personal grief and shame is legitimate but secondary — it must be grounded in the announcement of a new redemptive act, not in generic psychological encouragement.</w:t>
      </w:r>
    </w:p>
    <w:p>
      <w:pPr>
        <w:numPr>
          <w:ilvl w:val="0"/>
          <w:numId w:val="1002"/>
        </w:numPr>
      </w:pPr>
      <w:r>
        <w:rPr>
          <w:b/>
          <w:bCs/>
        </w:rPr>
        <w:t xml:space="preserve">Softening verse 25 by framing God’s forgiveness as a response to Israel’s (or the hearer’s) repentance.</w:t>
      </w:r>
      <w:r>
        <w:t xml:space="preserve"> </w:t>
      </w:r>
      <w:r>
        <w:t xml:space="preserve">The text is unambiguous: the forgiveness of verse 25 is stated prior to any indication of Israel’s response and is grounded explicitly in the LORD’s own motivation (</w:t>
      </w:r>
      <w:r>
        <w:t xml:space="preserve">“for my own sake”</w:t>
      </w:r>
      <w:r>
        <w:t xml:space="preserve">), not in Israel’s return. Preaching this verse as</w:t>
      </w:r>
      <w:r>
        <w:t xml:space="preserve"> </w:t>
      </w:r>
      <w:r>
        <w:t xml:space="preserve">“God will forgive you when you repent”</w:t>
      </w:r>
      <w:r>
        <w:t xml:space="preserve"> </w:t>
      </w:r>
      <w:r>
        <w:t xml:space="preserve">imports a conditionality the text actively resists. The verse is not a call to repentance; it is a declaration of forgiveness. The appropriate response is wonder and worship, followed by repentance — not repentance as the precondition for the forgiveness.</w:t>
      </w:r>
    </w:p>
    <w:p>
      <w:pPr>
        <w:numPr>
          <w:ilvl w:val="0"/>
          <w:numId w:val="1002"/>
        </w:numPr>
      </w:pPr>
      <w:r>
        <w:rPr>
          <w:b/>
          <w:bCs/>
        </w:rPr>
        <w:t xml:space="preserve">Treating the courtroom scene (vv. 8–13) as primarily a missiological commission.</w:t>
      </w:r>
      <w:r>
        <w:t xml:space="preserve"> </w:t>
      </w:r>
      <w:r>
        <w:t xml:space="preserve">The lawsuit form and the witness language are regularly read as a forward-looking evangelical charge:</w:t>
      </w:r>
      <w:r>
        <w:t xml:space="preserve"> </w:t>
      </w:r>
      <w:r>
        <w:t xml:space="preserve">“Go and be witnesses.”</w:t>
      </w:r>
      <w:r>
        <w:t xml:space="preserve"> </w:t>
      </w:r>
      <w:r>
        <w:t xml:space="preserve">The text is doing something different — it is establishing the LORD’s exclusive claim to deity against the idol-nations by pointing to His track record of prediction and fulfillment, with Israel as the evidentiary exhibit. The missiological application is valid, but it must be built on the judicial-theological foundation, not substituted for it. Israel witnesses</w:t>
      </w:r>
      <w:r>
        <w:t xml:space="preserve"> </w:t>
      </w:r>
      <w:r>
        <w:rPr>
          <w:i/>
          <w:iCs/>
        </w:rPr>
        <w:t xml:space="preserve">because</w:t>
      </w:r>
      <w:r>
        <w:t xml:space="preserve"> </w:t>
      </w:r>
      <w:r>
        <w:t xml:space="preserve">they have seen, not primarily</w:t>
      </w:r>
      <w:r>
        <w:t xml:space="preserve"> </w:t>
      </w:r>
      <w:r>
        <w:rPr>
          <w:i/>
          <w:iCs/>
        </w:rPr>
        <w:t xml:space="preserve">in order to</w:t>
      </w:r>
      <w:r>
        <w:t xml:space="preserve"> </w:t>
      </w:r>
      <w:r>
        <w:t xml:space="preserve">accomplish a mission.</w:t>
      </w:r>
    </w:p>
    <w:p>
      <w:pPr>
        <w:numPr>
          <w:ilvl w:val="0"/>
          <w:numId w:val="1002"/>
        </w:numPr>
      </w:pPr>
      <w:r>
        <w:rPr>
          <w:b/>
          <w:bCs/>
        </w:rPr>
        <w:t xml:space="preserve">Skipping or softening the indictment of verses 22–28 in order to get to the comfort faster.</w:t>
      </w:r>
      <w:r>
        <w:t xml:space="preserve"> </w:t>
      </w:r>
      <w:r>
        <w:t xml:space="preserve">The entire rhetorical force of verse 25 depends on what precedes it. If you preach the grace of verse 25 without preaching the depth of the indictment in verses 22–24 — Israel has not called on God, has not brought offerings, has burdened Him with sins — the forgiveness loses its staggering quality. The preacher who moves quickly from the opening comfort (vv. 1–7) to the closing grace (v. 25) without sitting in the indictment is producing a sermon that feels encouraging but has lost the theological weight that makes the encouragement genuinely good news rather than mere reassurance.</w:t>
      </w:r>
    </w:p>
    <w:p>
      <w:pPr>
        <w:numPr>
          <w:ilvl w:val="0"/>
          <w:numId w:val="1002"/>
        </w:numPr>
      </w:pPr>
      <w:r>
        <w:rPr>
          <w:b/>
          <w:bCs/>
        </w:rPr>
        <w:t xml:space="preserve">Failing to show that Isaiah 43 climaxes in Christ.</w:t>
      </w:r>
      <w:r>
        <w:t xml:space="preserve"> </w:t>
      </w:r>
      <w:r>
        <w:t xml:space="preserve">The new exodus of verses 14–21, the forgiveness of verse 25, and the witness role of verses 10–12 all reach their fulfillment in the New Testament — in Christ’s redemption, the Spirit’s mission, and the church’s witness among the nations. A sermon that ends with the comfort of the promises without tracing them to their fulfillment in Christ is preaching the shadow without the substance. The Reformed preacher must show that</w:t>
      </w:r>
      <w:r>
        <w:t xml:space="preserve"> </w:t>
      </w:r>
      <w:r>
        <w:t xml:space="preserve">“I am doing a new thing”</w:t>
      </w:r>
      <w:r>
        <w:t xml:space="preserve"> </w:t>
      </w:r>
      <w:r>
        <w:t xml:space="preserve">is answered ultimately not by Cyrus’s decree but by the empty tomb, and that</w:t>
      </w:r>
      <w:r>
        <w:t xml:space="preserve"> </w:t>
      </w:r>
      <w:r>
        <w:t xml:space="preserve">“you are my witnesses”</w:t>
      </w:r>
      <w:r>
        <w:t xml:space="preserve"> </w:t>
      </w:r>
      <w:r>
        <w:t xml:space="preserve">reaches its fullest expression in Acts 1:8.</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2026-07-14T21:05:43Z</dcterms:created>
  <dcterms:modified xsi:type="dcterms:W3CDTF">2026-07-14T21:05:43Z</dcterms:modified>
</cp:coreProperties>
</file>

<file path=docProps/custom.xml><?xml version="1.0" encoding="utf-8"?>
<Properties xmlns="http://schemas.openxmlformats.org/officeDocument/2006/custom-properties" xmlns:vt="http://schemas.openxmlformats.org/officeDocument/2006/docPropsVTypes"/>
</file>